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13 171 vom 29. April 2014</w:t>
      </w:r>
    </w:p>
    <w:p>
      <w:r>
        <w:t>VS Kantonsgericht, 2014-04-29, FR</w:t>
      </w:r>
    </w:p>
    <w:p>
      <w:r>
        <w:rPr>
          <w:b/>
        </w:rPr>
        <w:t xml:space="preserve">Quelle: </w:t>
      </w:r>
      <w:r>
        <w:t>https://mcp.opencaselaw.ch/entscheid/vs_gerichte_S1 13 171</w:t>
      </w:r>
    </w:p>
    <w:p>
      <w:r>
        <w:t>FR: VS_GERICHTE S1 13 171 du 29 avril 2014</w:t>
      </w:r>
    </w:p>
    <w:p>
      <w:r>
        <w:t>IT: VS_GERICHTE S1 13 171 del 29 aprile 2014</w:t>
      </w:r>
    </w:p>
    <w:p>
      <w:pPr>
        <w:pStyle w:val="Heading2"/>
      </w:pPr>
      <w:r>
        <w:t>Regeste</w:t>
      </w:r>
    </w:p>
    <w:p>
      <w:r>
        <w:t>S1 13 171 JUGEMENT DU 29 AVRIL 2014 Tribunal cantonal du Valais Cour des assurances sociales Composition : Eve-Marie Dayer-Schmid, présidente ; Jean-Bernard Fournier et Jean- Pierre Zufferey, juges ; Garance Klay, greffière en la cause X_________, recourante, représentée par Maître A_________ contre Office cantonal AI du Valais, intimé (demande de révision)</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70), à moins que la LAI n'y déroge expressément. Formé le 18 octobre 2013, le présent recours a été interjeté dans le délai légal de trente jours (art. 60 LPGA) devant l'instance compétente (art. 56, 57 et 58 LPGA; art. 81bis LPJA). Il répond par ailleurs aux autres conditions formelles de recevabilité (art. 61 let. b LPGA), de sorte que la Cour doit entrer en matière. 2.1 L'office AI étant entré en matière sur la demande de révision du 1er octobre 2012, il y a lieu d’examiner l'affaire au fond. Le litige a ainsi pour objet le point de savoir si l'invalidité de la recourante s'est modifiée de manière à influencer son droit à la rente entre le 13 octobre 2011, date de la dernière décision entrée en force qui reposait sur un examen matériel du droit à la rente, et le moment où a été rendue la décision litigieuse (ATF 133 V 108 consid. 5 p. 110 s.). 2.2 En vertu de l'article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Afin de pouvoir calculer le degré d’invalidité, l'administration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p. 261). Pour qu’un rapport médical soit probant,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w:t>
      </w:r>
    </w:p>
    <w:p>
      <w:r>
        <w:t>- 7 -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p. 232; 133 V 450 consid. 11.1.3 p. 469; 125 V 351 consid. 3a p. 352). 2.2.1 Pour rendre sa décision du 13 octobre 2011, l'intimé s’était notamment fondé sur l’expertise du BREM du 15 février 2010. Les praticiens avaient alors relevé, au plan psychique, que le tableau clinique était celui d’un trouble anxieux de type anxiété généralisée. Ce trouble entraînait une fatigue chronique et de discrets troubles cognitifs. Le tableau clinique n’était alors pas de type dépressif. L’anxiété généralisée était considérée comme minime à légère et ne justifiait pas de traitement spécialisé. L’ancien travail n’avait plus été jugé exigible ; un travail simple adapté pouvait être accompli à 40%. L’atteinte cognititivo-comportementale justifiait une incapacité médico- théorique de 50% au moins dans une activité adaptée ; ce taux était majoré de 10% par le cumul du trouble anxieux et du trouble psycho-organique. Le travail adapté devait être plus simple, sans déplacements de longue durée en voiture, sans exposition aux bruits, à des vibrations, ne pas nécessiter des mouvements en hauteur avec le membre supérieur gauche, une audition fine, une attention soutenue et devait être sans facteur de stress. Avant de prendre sa décision, l’OAI avait également pris connaissance de l’avis de la Dresse D_________ du 20 novembre 2010, laquelle avait rapporté que sa patiente présentait des troubles de mémoire, un état dépressif réactionnel à la situation et des douleurs lombaires récidivantes. Elle se plaignait de douleurs dorsolombaires, de la fatigue, des troubles mnésiques et cognitifs et n’arrivait plus à supporter les événements stressants. La praticienne avait noté une péjoration progressive. A l’aune de ces éléments, le SMR avait finalement admis un taux d’incapacité de travail de 60% ; il avait estimé que les troubles anxieux justifiaient une majoration de 10% du taux d’incapacité de travail de 50% antérieurement admis en raison du syndrome dysexécutif, une sensation de fatigue et de troubles du comportement (persévérations, troubles discursifs). La décision du 13 octobre 2011 n’avait pas été contestée ; en particulier, elle n’avait nullement été critiquée en raison d’une péjoration de l’état de santé qui serait survenue dès janvier 2011, notamment en raison de l’état dépressif initialement relevé par la Dresse D_________, étant souligné que l’assurée était déjà suivie par le Dr H_________ en octobre 2011 (médecin traitant depuis mars 2011). Or, il est rappelé qu’une demande de révision ne saurait pallier l’absence d’un recours diligenté en temps voulu. Il sied dès lors d'examiner si, à l'aune des avis médicaux versés au dossier, il appert que l'état de fait, en particulier l'état de santé de la recourante, s'est modifié depuis le 13 octobre 2011.</w:t>
      </w:r>
    </w:p>
    <w:p>
      <w:r>
        <w:t>- 8 - 2.2.2 La recourante estime qu’une expertise psychiatrique et neuropsychologique aurait dû être mise en œuvre et une rente entière d’invalidité lui être allouée dès le 1er janvier 2011.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2.2.3 La recourante se prévaut de l’avis du Dr H_________. Dans son rapport du 16 janvier 2013, ce praticien a fait mention d’une colite collagène, d’une baisse de l’acuité auditive, d’un status après méatoplastie et tympanoplastie II droite, de lombosciatalgies en janvier 2012 et de gonalgies avec épanchement. Il a également retenu un état dépressif depuis janvier 2011 et une aggravation des déficits exécutifs et comportementaux et des troubles mnésiques ; les troubles neuro-psychologiques séquellaires s’étaient décompensés face aux échecs professionnels. Le 7 juin 2013, le SMR a relevé que la colite avait été stabilisée, que les lombosciatalgies ainsi que l’état anxieux et dépressif et les troubles neuropsychologiques étaient déjà connus. Aucune incapacité de travail n’avait été attestée en relation avec l’atteinte au genou ou le statut ORL. Dans son nouveau rapport du 15 juillet 2013, le Dr H_________ a admis que la colite, les lombosciatalgies et les gonalgies avaient évolué favorablement et n’avaient pas entraîné d’incapacité de travail de longue durée ; par contre, il estimait qu’il fallait tenir compte de l’aggravation de l’état de santé psychique sous forme d’état anxio-dépressif manifeste depuis janvier 2011, ainsi qu’une nette aggravation des déficits exécutifs et comportementaux et des troubles mnésiques décompensés face aux échecs professionnels. S’agissant de l’aggravation de l’état anxio-dépressif alléguée depuis janvier 2011, le Tribunal constate qu’il s’agirait d’une aggravation antérieure à la décision 13 octobre 2011, soit d’un élément dont la recourante aurait dû se prévaloir dans le cadre d’une contestation de l’état de fait retenu en octobre 2011 et non d’un motif de révision. Par ailleurs, comme notés par le SMR, l’état anxieux et dépressif ainsi que les troubles neuropsychologiques, relevés notamment par le BREM (incapacité de travail de 50% majorée de 0% en raison du cumul du trouble anxieux et du trouble psycho-organique) et par la Dresse D_________ (état dépressif) avaient déjà été pris en compte dans l’évaluation d’octobre 2011. Une fatigabilité ainsi que des troubles exécutifs et mnésiques avaient déjà été retenus dans le rapport du Dr C_________ du 19 juin 2006 ; le bilan neuropsychologique du 8 juin 2006 avait montré un dysfonctionnement exécutif marqué avec difficulté d’organisation, déficit de gestion de tâches multiples, persévérations et troubles discursifs chez une patiente anosognosique (cf. également</w:t>
      </w:r>
    </w:p>
    <w:p>
      <w:r>
        <w:t>- 9 - le rapport du SMR du 9 août 2007). Partant, la survenance de troubles mnésiques, degré d’anosognosie, difficultés de programmation, d’anticipation, de gestion du temps, diminution des ressources attentionnelles et mauvaise capacité d’évaluation de sa propre capacité à effectuer les tâches, qui sont des aspects des troubles exécutifs et mnésiques déjà pris en considération par le passé, retenus comme indices d’aggravation par le Dr H_________, ne constituent pas des faits nouveaux. Pour le surplus, le Dr H_________ n’a pas fourni d’éléments permettant de mettre en doute l’appréciation du SMR, notamment de retenir que ces atteintes se seraient objectivement péjorées depuis octobre 2011 (objectivation de nouveaux symptômes, adaptation de la médication, augmentation de la fréquence des consultations et des traitements mis en œuvre,…), étant rappelé qu’une simple appréciation différente d'un état de fait, qui, pour l'essentiel, est demeuré inchangé n'appelle pas à une révision au sens de l'art. 17 LPGA. Pour le surplus, le Tribunal constate que le rapport du SMR répond aux réquisits posés par la jurisprudence en matière de valeur probante des actes médicaux. Le SMR s’est prononcé en connaissance du dossier, notamment des pièces médicales et en considération des plaintes de l’assurée. Les diagnostics sont clairs et dûment motivés et le SMR a notamment exposé les motifs pour lesquels il s’écartait des conclusions du médecin traitant ; il a notamment relevé que, sur le plan psychique, un état anxieux et dépressif associé à des troubles neuropsychologiques était déjà connu. Le Dr H_________ parlait de leur aggravation sans donner de vrais arguments et sans aucun rapport psychiatrique ou neuropschologique attestant ses déclarations. Il appert ainsi que l’évolution de l’état de santé et de la capacité de travail a été correctement évaluée par l’intimé. Il n’est ainsi pas nécessaire de mettre en œuvre une nouvelle expertise, étant rappelé que les actes médicaux ne doivent pas être complétés pour la simple raison qu'il se pourrait, éventuellement, qu'un examen complémentaire aboutisse à une appréciation différente, à moins qu'ils ne présentent des lacunes ou qu'ils soient contestés sur des points précis (ATF 110 V 53 consid. 4a; 104 V 210 consid. a; 115 Ia 101 consid. 5b; VSI 1997, 125 consid. 2c in fine), ce qui n’est pas le cas en l’occurrence. Au vu de ces éléments, on ne saurait faire grief à l’intimé d’avoir refusé de réviser le droit à la rente de l’assurée.</w:t>
      </w:r>
    </w:p>
    <w:p>
      <w:r>
        <w:rPr>
          <w:b/>
        </w:rPr>
        <w:t>E. 3</w:t>
      </w:r>
    </w:p>
    <w:p>
      <w:r>
        <w:t>Les frais de justice, par 500 fr., sont mis à charge de X_________.</w:t>
      </w:r>
    </w:p>
    <w:p>
      <w:r>
        <w:t>Sion, le 29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